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975813"/>
        <w:docPartObj>
          <w:docPartGallery w:val="и символа"/>
          <w:docPartUnique/>
        </w:docPartObj>
      </w:sdtPr>
      <w:sdtEndPr>
        <w:rPr>
          <w:b/>
          <w:bCs/>
        </w:rPr>
      </w:sdtEndPr>
      <w:sdtContent>
        <w:p w:rsidR="003771D9" w:rsidRDefault="003771D9"/>
        <w:p w:rsidR="003771D9" w:rsidRDefault="003771D9" w:rsidP="003771D9">
          <w:pPr>
            <w:ind w:right="-284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86ED8">
            <w:rPr>
              <w:rFonts w:ascii="Times New Roman" w:hAnsi="Times New Roman" w:cs="Times New Roman"/>
              <w:b/>
              <w:sz w:val="28"/>
            </w:rPr>
            <w:t>МИНИСТЕРОСТВО ОБРАЗОВАНИЯ И НАУКИ</w:t>
          </w:r>
        </w:p>
        <w:p w:rsidR="003771D9" w:rsidRPr="00286ED8" w:rsidRDefault="003771D9" w:rsidP="003771D9">
          <w:pPr>
            <w:ind w:right="-284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86ED8">
            <w:rPr>
              <w:rFonts w:ascii="Times New Roman" w:hAnsi="Times New Roman" w:cs="Times New Roman"/>
              <w:b/>
              <w:sz w:val="28"/>
            </w:rPr>
            <w:t xml:space="preserve"> РЕСПУБЛИКИ ДАГЕСТАН</w:t>
          </w:r>
        </w:p>
        <w:p w:rsidR="003771D9" w:rsidRDefault="003771D9" w:rsidP="003771D9">
          <w:pPr>
            <w:ind w:right="-284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86ED8">
            <w:rPr>
              <w:rFonts w:ascii="Times New Roman" w:hAnsi="Times New Roman" w:cs="Times New Roman"/>
              <w:b/>
              <w:sz w:val="28"/>
            </w:rPr>
            <w:t>Государственное бюджетное профессиональное образовательное учреждение</w:t>
          </w:r>
        </w:p>
        <w:p w:rsidR="003771D9" w:rsidRDefault="003771D9" w:rsidP="003771D9">
          <w:pPr>
            <w:ind w:right="-284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86ED8">
            <w:rPr>
              <w:rFonts w:ascii="Times New Roman" w:hAnsi="Times New Roman" w:cs="Times New Roman"/>
              <w:b/>
              <w:sz w:val="28"/>
            </w:rPr>
            <w:t xml:space="preserve"> Республики Дагестан </w:t>
          </w:r>
        </w:p>
        <w:p w:rsidR="003771D9" w:rsidRDefault="003771D9" w:rsidP="003771D9">
          <w:pPr>
            <w:ind w:right="-284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86ED8">
            <w:rPr>
              <w:rFonts w:ascii="Times New Roman" w:hAnsi="Times New Roman" w:cs="Times New Roman"/>
              <w:b/>
              <w:sz w:val="28"/>
            </w:rPr>
            <w:t>«Колледж машиностроения и сервиса им. С. Орджоникидзе»</w:t>
          </w:r>
        </w:p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40"/>
            </w:rPr>
          </w:pPr>
        </w:p>
        <w:p w:rsid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40"/>
            </w:rPr>
          </w:pPr>
        </w:p>
        <w:p w:rsidR="003771D9" w:rsidRP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3771D9">
            <w:rPr>
              <w:rFonts w:ascii="Times New Roman" w:hAnsi="Times New Roman" w:cs="Times New Roman"/>
              <w:b/>
              <w:sz w:val="40"/>
            </w:rPr>
            <w:t>Выступление</w:t>
          </w:r>
        </w:p>
        <w:p w:rsidR="003771D9" w:rsidRP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sz w:val="36"/>
            </w:rPr>
            <w:t xml:space="preserve">Методиста </w:t>
          </w:r>
          <w:r w:rsidRPr="003771D9">
            <w:rPr>
              <w:rFonts w:ascii="Times New Roman" w:hAnsi="Times New Roman" w:cs="Times New Roman"/>
              <w:b/>
              <w:sz w:val="36"/>
            </w:rPr>
            <w:t xml:space="preserve"> Ширинбековой Х.З.</w:t>
          </w:r>
        </w:p>
        <w:p w:rsidR="003771D9" w:rsidRP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3771D9">
            <w:rPr>
              <w:rFonts w:ascii="Times New Roman" w:hAnsi="Times New Roman" w:cs="Times New Roman"/>
              <w:b/>
              <w:sz w:val="36"/>
            </w:rPr>
            <w:t xml:space="preserve">. на семинаре </w:t>
          </w:r>
        </w:p>
        <w:p w:rsidR="003771D9" w:rsidRPr="003771D9" w:rsidRDefault="003771D9" w:rsidP="003771D9">
          <w:pPr>
            <w:spacing w:line="480" w:lineRule="auto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3771D9">
            <w:rPr>
              <w:rFonts w:ascii="Times New Roman" w:hAnsi="Times New Roman" w:cs="Times New Roman"/>
              <w:b/>
              <w:sz w:val="36"/>
            </w:rPr>
            <w:t>Школы молодых преподавателей</w:t>
          </w:r>
        </w:p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Default="003771D9"/>
        <w:p w:rsidR="003771D9" w:rsidRPr="003771D9" w:rsidRDefault="003771D9" w:rsidP="003771D9">
          <w:pPr>
            <w:jc w:val="center"/>
            <w:rPr>
              <w:rFonts w:ascii="Times New Roman" w:hAnsi="Times New Roman" w:cs="Times New Roman"/>
              <w:b/>
            </w:rPr>
          </w:pPr>
          <w:r w:rsidRPr="003771D9">
            <w:rPr>
              <w:rFonts w:ascii="Times New Roman" w:hAnsi="Times New Roman" w:cs="Times New Roman"/>
              <w:b/>
            </w:rPr>
            <w:t>Каспийск 2018г</w:t>
          </w:r>
        </w:p>
        <w:p w:rsidR="003771D9" w:rsidRDefault="003771D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9128"/>
          </w:tblGrid>
          <w:tr w:rsidR="003771D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771D9" w:rsidRDefault="003771D9">
                <w:pPr>
                  <w:pStyle w:val="a9"/>
                  <w:rPr>
                    <w:color w:val="4F81BD" w:themeColor="accent1"/>
                  </w:rPr>
                </w:pPr>
              </w:p>
            </w:tc>
          </w:tr>
        </w:tbl>
        <w:p w:rsidR="003771D9" w:rsidRDefault="003771D9"/>
        <w:p w:rsidR="003771D9" w:rsidRDefault="003771D9">
          <w:r>
            <w:rPr>
              <w:b/>
              <w:bCs/>
            </w:rPr>
            <w:br w:type="page"/>
          </w:r>
        </w:p>
      </w:sdtContent>
    </w:sdt>
    <w:p w:rsidR="000815AC" w:rsidRDefault="003344DC">
      <w:pPr>
        <w:pStyle w:val="30"/>
        <w:framePr w:w="9907" w:h="6107" w:hRule="exact" w:wrap="none" w:vAnchor="page" w:hAnchor="page" w:x="1438" w:y="1205"/>
        <w:shd w:val="clear" w:color="auto" w:fill="auto"/>
        <w:spacing w:after="0" w:line="280" w:lineRule="exact"/>
        <w:ind w:left="360"/>
      </w:pPr>
      <w:r>
        <w:lastRenderedPageBreak/>
        <w:t>ВИДЫ ВНЕАУДИТОРНОЙ САМОСТОЯТЕЛЬНОЙ РАБОТЫ</w:t>
      </w:r>
    </w:p>
    <w:p w:rsidR="000815AC" w:rsidRDefault="003344DC">
      <w:pPr>
        <w:pStyle w:val="30"/>
        <w:framePr w:w="9907" w:h="6107" w:hRule="exact" w:wrap="none" w:vAnchor="page" w:hAnchor="page" w:x="1438" w:y="1205"/>
        <w:shd w:val="clear" w:color="auto" w:fill="auto"/>
        <w:spacing w:after="248" w:line="280" w:lineRule="exact"/>
        <w:ind w:left="360"/>
      </w:pPr>
      <w:r>
        <w:t>СТУДЕНТОВ</w:t>
      </w:r>
    </w:p>
    <w:p w:rsidR="000815AC" w:rsidRDefault="003344DC">
      <w:pPr>
        <w:pStyle w:val="20"/>
        <w:framePr w:w="9907" w:h="6107" w:hRule="exact" w:wrap="none" w:vAnchor="page" w:hAnchor="page" w:x="1438" w:y="1205"/>
        <w:shd w:val="clear" w:color="auto" w:fill="auto"/>
        <w:spacing w:before="0"/>
        <w:ind w:right="460"/>
      </w:pPr>
      <w:r>
        <w:t xml:space="preserve">Внеаудиторная самостоятельная работа студентов - то планируемая учебная, учебно-исследовательская и (или) научно-исследовательская работа студентов, выполняемая </w:t>
      </w:r>
      <w:r>
        <w:t>во внеаудиторное время по заданию и при методическом руководстве преподавателя, но без его непосредственного участия.</w:t>
      </w:r>
    </w:p>
    <w:p w:rsidR="000815AC" w:rsidRDefault="003344DC">
      <w:pPr>
        <w:pStyle w:val="20"/>
        <w:framePr w:w="9907" w:h="6107" w:hRule="exact" w:wrap="none" w:vAnchor="page" w:hAnchor="page" w:x="1438" w:y="1205"/>
        <w:shd w:val="clear" w:color="auto" w:fill="auto"/>
        <w:spacing w:before="0"/>
        <w:ind w:right="460"/>
      </w:pPr>
      <w:r>
        <w:t>Целью самостоятельной работы студентов является овладение фундаментальными знаниями, профессиональными умениями и навыками деятельности по</w:t>
      </w:r>
      <w:r>
        <w:t xml:space="preserve">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0815AC" w:rsidRDefault="003344DC">
      <w:pPr>
        <w:pStyle w:val="20"/>
        <w:framePr w:w="9907" w:h="6107" w:hRule="exact" w:wrap="none" w:vAnchor="page" w:hAnchor="page" w:x="1438" w:y="1205"/>
        <w:shd w:val="clear" w:color="auto" w:fill="auto"/>
        <w:spacing w:before="0"/>
        <w:ind w:right="460"/>
      </w:pPr>
      <w:r>
        <w:t>Объем само</w:t>
      </w:r>
      <w:r>
        <w:t>стоятельной работы студентов определяется федеральным государственным образовательным стандартом.</w:t>
      </w:r>
    </w:p>
    <w:p w:rsidR="000815AC" w:rsidRDefault="003344DC">
      <w:pPr>
        <w:pStyle w:val="20"/>
        <w:framePr w:w="9907" w:h="6107" w:hRule="exact" w:wrap="none" w:vAnchor="page" w:hAnchor="page" w:x="1438" w:y="1205"/>
        <w:shd w:val="clear" w:color="auto" w:fill="auto"/>
        <w:spacing w:before="0"/>
        <w:ind w:right="460"/>
      </w:pPr>
      <w:r>
        <w:t>Самостоятельная работа студентов является обязательной для каждого студента и определяется учебным планом и требованиями федерального государственного образов</w:t>
      </w:r>
      <w:r>
        <w:t>ательного стандарта и преподавателем.</w:t>
      </w:r>
    </w:p>
    <w:p w:rsidR="000815AC" w:rsidRDefault="003344DC">
      <w:pPr>
        <w:pStyle w:val="a7"/>
        <w:framePr w:w="8203" w:h="694" w:hRule="exact" w:wrap="none" w:vAnchor="page" w:hAnchor="page" w:x="2115" w:y="7582"/>
        <w:shd w:val="clear" w:color="auto" w:fill="auto"/>
        <w:tabs>
          <w:tab w:val="left" w:leader="underscore" w:pos="1162"/>
          <w:tab w:val="left" w:leader="underscore" w:pos="1286"/>
          <w:tab w:val="left" w:leader="underscore" w:pos="2088"/>
          <w:tab w:val="left" w:leader="underscore" w:pos="3130"/>
          <w:tab w:val="left" w:pos="6211"/>
          <w:tab w:val="left" w:leader="underscore" w:pos="6638"/>
          <w:tab w:val="left" w:leader="underscore" w:pos="6941"/>
          <w:tab w:val="left" w:leader="underscore" w:pos="8203"/>
        </w:tabs>
      </w:pPr>
      <w:r>
        <w:t xml:space="preserve">Характеристика видов внеаудиторной самостоятельной работы </w:t>
      </w:r>
      <w:r>
        <w:tab/>
      </w:r>
      <w:r>
        <w:tab/>
      </w:r>
      <w:r>
        <w:tab/>
      </w:r>
      <w:r>
        <w:tab/>
      </w:r>
      <w:r>
        <w:rPr>
          <w:rStyle w:val="a8"/>
          <w:b/>
          <w:bCs/>
        </w:rPr>
        <w:t>студен</w:t>
      </w:r>
      <w:r>
        <w:t>тов __</w:t>
      </w:r>
      <w:r>
        <w:tab/>
      </w:r>
      <w:r>
        <w:tab/>
      </w:r>
      <w:r>
        <w:tab/>
        <w:t xml:space="preserve"> 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4406"/>
        <w:gridCol w:w="3408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78" w:lineRule="exact"/>
              <w:jc w:val="center"/>
            </w:pPr>
            <w:r>
              <w:rPr>
                <w:rStyle w:val="2115pt"/>
              </w:rPr>
              <w:t>Вид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78" w:lineRule="exact"/>
              <w:ind w:left="280"/>
              <w:jc w:val="left"/>
            </w:pPr>
            <w:r>
              <w:rPr>
                <w:rStyle w:val="2115pt"/>
              </w:rPr>
              <w:t>внеаудиторной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78" w:lineRule="exact"/>
              <w:jc w:val="left"/>
            </w:pPr>
            <w:r>
              <w:rPr>
                <w:rStyle w:val="2115pt"/>
              </w:rPr>
              <w:t>самостоятельной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78" w:lineRule="exact"/>
              <w:jc w:val="center"/>
            </w:pPr>
            <w:r>
              <w:rPr>
                <w:rStyle w:val="2115pt"/>
              </w:rPr>
              <w:t>работы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78" w:lineRule="exact"/>
              <w:jc w:val="center"/>
            </w:pPr>
            <w:r>
              <w:rPr>
                <w:rStyle w:val="2115pt"/>
              </w:rPr>
              <w:t>Краткая характеристика внеаудиторной самостоятельной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Критерии оценки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617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 xml:space="preserve">Подготовка </w:t>
            </w:r>
            <w:r>
              <w:rPr>
                <w:rStyle w:val="21"/>
              </w:rPr>
              <w:t>информационн ого сообщения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ind w:right="242"/>
            </w:pPr>
            <w:r>
              <w:rPr>
                <w:rStyle w:val="22"/>
              </w:rPr>
              <w:t>Вид внеаудиторной самостоятельной работы по подготовке небольшого по объёму устного сообщения для озвучивания на семинаре, практическом занятии. Сообщаемая информация носит характер уточнения или обобщения, несёт новизну, отражае</w:t>
            </w:r>
            <w:r>
              <w:rPr>
                <w:rStyle w:val="22"/>
              </w:rPr>
              <w:t>т современный взгляд по определённым проблемам. Сообщение отличается от докладов и рефератов не только объёмом информации, но и её характером - сообщения дополняют изучаемый вопрос фактическими или статистическими материалами. Оформляется задание письменно</w:t>
            </w:r>
            <w:r>
              <w:rPr>
                <w:rStyle w:val="22"/>
              </w:rPr>
              <w:t>,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Степень раскрытия темы, объем использованной научной литературы, достоверность информации,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необходимость и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достаточность</w:t>
            </w:r>
          </w:p>
          <w:p w:rsidR="000815AC" w:rsidRDefault="003344DC">
            <w:pPr>
              <w:pStyle w:val="20"/>
              <w:framePr w:w="9907" w:h="7315" w:wrap="none" w:vAnchor="page" w:hAnchor="page" w:x="1438" w:y="8237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информации.</w:t>
            </w:r>
          </w:p>
        </w:tc>
      </w:tr>
    </w:tbl>
    <w:p w:rsidR="000815AC" w:rsidRDefault="000815AC">
      <w:pPr>
        <w:rPr>
          <w:sz w:val="2"/>
          <w:szCs w:val="2"/>
        </w:rPr>
        <w:sectPr w:rsidR="000815AC" w:rsidSect="003771D9"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07"/>
        <w:gridCol w:w="4406"/>
        <w:gridCol w:w="3422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0815AC">
            <w:pPr>
              <w:framePr w:w="9936" w:h="14578" w:wrap="none" w:vAnchor="page" w:hAnchor="page" w:x="1424" w:y="115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ind w:right="256"/>
            </w:pPr>
            <w:r>
              <w:rPr>
                <w:rStyle w:val="22"/>
              </w:rPr>
              <w:t xml:space="preserve">оно может включать элементы наглядности (иллюстрации, </w:t>
            </w:r>
            <w:r>
              <w:rPr>
                <w:rStyle w:val="22"/>
              </w:rPr>
              <w:t>демонстрацию).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0815AC">
            <w:pPr>
              <w:framePr w:w="9936" w:h="14578" w:wrap="none" w:vAnchor="page" w:hAnchor="page" w:x="1424" w:y="1152"/>
              <w:rPr>
                <w:sz w:val="10"/>
                <w:szCs w:val="10"/>
              </w:rPr>
            </w:pP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61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1"/>
              </w:rPr>
              <w:t>Написание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60" w:line="280" w:lineRule="exact"/>
              <w:jc w:val="left"/>
            </w:pPr>
            <w:r>
              <w:rPr>
                <w:rStyle w:val="21"/>
              </w:rPr>
              <w:t>реферата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ind w:right="114"/>
            </w:pPr>
            <w:r>
              <w:rPr>
                <w:rStyle w:val="22"/>
              </w:rPr>
              <w:t>Это объёмный вид самостоятельной работы студента, содержащий информацию, дополняющую и развивающую основную тему, изучаемую на аудиторных занятия. Ведущее место занимают темы, представляющие</w:t>
            </w:r>
          </w:p>
          <w:p w:rsidR="000815AC" w:rsidRDefault="003344DC" w:rsidP="00C270A3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ind w:right="114"/>
            </w:pPr>
            <w:r>
              <w:rPr>
                <w:rStyle w:val="22"/>
              </w:rPr>
              <w:t xml:space="preserve">профессиональный интерес, </w:t>
            </w:r>
            <w:r>
              <w:rPr>
                <w:rStyle w:val="22"/>
              </w:rPr>
              <w:t>несущие элемент новизны. Реферативные материалы должны представлять письменную модель первичного документа - научной работы, монографии, статьи. Реферат может включать обзор нескольких источников и служить основой для доклада на определённую тему на семина</w:t>
            </w:r>
            <w:r>
              <w:rPr>
                <w:rStyle w:val="22"/>
              </w:rPr>
              <w:t>рах, конференциях.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Степень раскрытия темы, объем использованной научной литературы, достоверность информации,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необходимость и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достаточность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информации.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55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Написание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конспекта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первоисточник</w:t>
            </w:r>
          </w:p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ind w:right="256"/>
            </w:pPr>
            <w:r>
              <w:rPr>
                <w:rStyle w:val="22"/>
              </w:rPr>
              <w:t xml:space="preserve">Вид внеаудиторной самостоятельной работы студента по созданию </w:t>
            </w:r>
            <w:r>
              <w:rPr>
                <w:rStyle w:val="22"/>
              </w:rPr>
              <w:t>обзора информации, содержащейся в объекте конспектирования, в более краткой форме. В конспекте должны быть отражены основные принципиальные положения источника, го новое, что внёс его автор, основные методологические положения работы, аргументы, этапы дока</w:t>
            </w:r>
            <w:r>
              <w:rPr>
                <w:rStyle w:val="22"/>
              </w:rPr>
              <w:t>зательства и выводы. Ценность конспекта значительно повышается, если студент излагает мысли своими словами, в лаконичной форме.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Соответствие конспекта плану содержания источника, отражение в конспекте основных положений источника и наличие выводов, ясность</w:t>
            </w:r>
            <w:r>
              <w:rPr>
                <w:rStyle w:val="22"/>
              </w:rPr>
              <w:t>, лаконичность изложения.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Написание эссе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  <w:ind w:right="114"/>
            </w:pPr>
            <w:r>
              <w:rPr>
                <w:rStyle w:val="22"/>
              </w:rPr>
              <w:t>Вид внеаудиторной самостоятельной работы студентов по написанию сочинения небольшого объёма и свободной композиции на частную тему, трактуемую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36" w:h="14578" w:wrap="none" w:vAnchor="page" w:hAnchor="page" w:x="1424" w:y="1152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 xml:space="preserve">Полнота выбора источников информации но раскрываемой теме, точность </w:t>
            </w:r>
            <w:r>
              <w:rPr>
                <w:rStyle w:val="22"/>
              </w:rPr>
              <w:t>информации, список источников отражает раскрываемую</w:t>
            </w:r>
          </w:p>
        </w:tc>
      </w:tr>
    </w:tbl>
    <w:p w:rsidR="000815AC" w:rsidRDefault="000815AC">
      <w:pPr>
        <w:rPr>
          <w:sz w:val="2"/>
          <w:szCs w:val="2"/>
        </w:rPr>
        <w:sectPr w:rsidR="000815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4402"/>
        <w:gridCol w:w="3427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483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0815AC">
            <w:pPr>
              <w:framePr w:w="9941" w:h="14602" w:wrap="none" w:vAnchor="page" w:hAnchor="page" w:x="1421" w:y="1137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/>
              <w:ind w:right="257"/>
            </w:pPr>
            <w:r>
              <w:rPr>
                <w:rStyle w:val="22"/>
              </w:rPr>
              <w:t>субъективно и обычно неполно. Тематика эссе должна быть актуальной, затрагивающей современные проблемы области изучения дисциплины. Студент</w:t>
            </w:r>
            <w:r>
              <w:rPr>
                <w:rStyle w:val="22"/>
              </w:rPr>
              <w:t xml:space="preserve"> должен раскрыть не только суть проблемы, привести различные точки зрения, но и выразить собственные взгляды на неё. Этот вид работы требует от студента умения чётко выражать мысли как в письменной форме, так и посредством логических рассуждений, ясно изла</w:t>
            </w:r>
            <w:r>
              <w:rPr>
                <w:rStyle w:val="22"/>
              </w:rPr>
              <w:t>гать свою точку зрения.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тему.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679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/>
              <w:ind w:left="160"/>
              <w:jc w:val="left"/>
            </w:pPr>
            <w:r>
              <w:rPr>
                <w:rStyle w:val="21"/>
              </w:rPr>
              <w:t>Составление</w:t>
            </w:r>
          </w:p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/>
              <w:ind w:left="160"/>
              <w:jc w:val="left"/>
            </w:pPr>
            <w:r>
              <w:rPr>
                <w:rStyle w:val="21"/>
              </w:rPr>
              <w:t>опорного</w:t>
            </w:r>
          </w:p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/>
              <w:ind w:left="160"/>
              <w:jc w:val="left"/>
            </w:pPr>
            <w:r>
              <w:rPr>
                <w:rStyle w:val="21"/>
              </w:rPr>
              <w:t>конспекта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322" w:lineRule="exact"/>
              <w:ind w:right="257"/>
            </w:pPr>
            <w:r>
              <w:rPr>
                <w:rStyle w:val="22"/>
              </w:rPr>
              <w:t xml:space="preserve">Вид внеаудиторной самостоятельной работы студента по созданию краткой информационной структуры, обобщающей и отражающей суть материала лекции, темы учебника. Опорный конспект призван выделить </w:t>
            </w:r>
            <w:r>
              <w:rPr>
                <w:rStyle w:val="22"/>
              </w:rPr>
              <w:t>главные объекты изучения, дать им краткую характеристику, используя символы, отразить связь с другими элементами. Основная цель опорного конспекта - облегчить запоминание. В его составлении используются различные базовые понятия, термины, знаки (символы) -</w:t>
            </w:r>
            <w:r>
              <w:rPr>
                <w:rStyle w:val="22"/>
              </w:rPr>
              <w:t xml:space="preserve"> опорные сигналы. Опорный конспект - это наилучшая форма подготовки к ответу и в процессе ответа.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Соответствие конспекта плану содержания источника, отражение в конспекте основных положений источника и наличие выводов, ясность, лаконичность изложения.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1"/>
              </w:rPr>
              <w:t>Написание</w:t>
            </w:r>
          </w:p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60" w:line="280" w:lineRule="exact"/>
              <w:ind w:left="160"/>
              <w:jc w:val="left"/>
            </w:pPr>
            <w:r>
              <w:rPr>
                <w:rStyle w:val="21"/>
              </w:rPr>
              <w:t>доклада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322" w:lineRule="exact"/>
              <w:ind w:right="257"/>
            </w:pPr>
            <w:r>
              <w:rPr>
                <w:rStyle w:val="22"/>
              </w:rPr>
              <w:t>Вид самостоятельной работы студента, публичное выступление по представлению полученных результатов решения определенной учебно</w:t>
            </w:r>
            <w:r>
              <w:rPr>
                <w:rStyle w:val="22"/>
              </w:rPr>
              <w:softHyphen/>
              <w:t>практической, учебно- исследовательской или научной темы.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 xml:space="preserve">Степень раскрытия темы, объем использованной научной </w:t>
            </w:r>
            <w:r>
              <w:rPr>
                <w:rStyle w:val="22"/>
              </w:rPr>
              <w:t>литературы, достоверность информации в докладе, необходимость и достаточность информации.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1"/>
              </w:rPr>
              <w:t>Составление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Вид самостоятельной работы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41" w:h="14602" w:wrap="none" w:vAnchor="page" w:hAnchor="page" w:x="1421" w:y="1137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Точность информации,</w:t>
            </w:r>
          </w:p>
        </w:tc>
      </w:tr>
    </w:tbl>
    <w:p w:rsidR="000815AC" w:rsidRDefault="000815AC">
      <w:pPr>
        <w:rPr>
          <w:sz w:val="2"/>
          <w:szCs w:val="2"/>
        </w:rPr>
        <w:sectPr w:rsidR="000815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4406"/>
        <w:gridCol w:w="3422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354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lastRenderedPageBreak/>
              <w:t>глоссария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/>
              <w:ind w:right="261"/>
            </w:pPr>
            <w:r>
              <w:rPr>
                <w:rStyle w:val="22"/>
              </w:rPr>
              <w:t xml:space="preserve">студента, выражающейся в </w:t>
            </w:r>
            <w:r>
              <w:rPr>
                <w:rStyle w:val="22"/>
              </w:rPr>
              <w:t>подборе и систематизации терминов, непонятных слов и выражений, встречающихся при изучении темы. Развивает у студентов способность выделять главные понятия темы и формулировать их. Оформляется письменно, включает название и значение терминов, слов и поняти</w:t>
            </w:r>
            <w:r>
              <w:rPr>
                <w:rStyle w:val="22"/>
              </w:rPr>
              <w:t>й в алфавитном порядке.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/>
            </w:pPr>
            <w:r>
              <w:rPr>
                <w:rStyle w:val="22"/>
              </w:rPr>
              <w:t>достоверность информации, отражение в работе контекста, в котором может быть употреблен данный термин.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Составление сводной (обобщающей) таблицы по теме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2" w:lineRule="exact"/>
              <w:ind w:right="119"/>
            </w:pPr>
            <w:r>
              <w:rPr>
                <w:rStyle w:val="22"/>
              </w:rPr>
              <w:t xml:space="preserve">Вид самостоятельной работы студента по систематизации объёмной информации, </w:t>
            </w:r>
            <w:r>
              <w:rPr>
                <w:rStyle w:val="22"/>
              </w:rPr>
              <w:t>которая сводится (обобщается) в рамки таблицы. Формирование структуры таблицы отражает склонность студента к систематизации материала и развивает его умения по структурированию информации.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Компактность таблицы и лаконичность записей, указание изучаемых объ</w:t>
            </w:r>
            <w:r>
              <w:rPr>
                <w:rStyle w:val="22"/>
              </w:rPr>
              <w:t>ектов, логические связи таблицы.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781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6" w:lineRule="exact"/>
              <w:jc w:val="left"/>
            </w:pPr>
            <w:r>
              <w:rPr>
                <w:rStyle w:val="21"/>
              </w:rPr>
              <w:t>Составление графологическ ой структуры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 w:rsidP="00C270A3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2" w:lineRule="exact"/>
              <w:ind w:right="261"/>
            </w:pPr>
            <w:r>
              <w:rPr>
                <w:rStyle w:val="22"/>
              </w:rPr>
              <w:t xml:space="preserve">Продуктивный вид самостоятельной работы студента по систематизации информации в рамках логической схемы с наглядным графическим её изображением. Графологическая структура как способ </w:t>
            </w:r>
            <w:r>
              <w:rPr>
                <w:rStyle w:val="22"/>
              </w:rPr>
              <w:t>систематизации информации ярко и наглядно представляет её содержание. Работа по созданию даже самых простых логических структур способствует развитию у студентов приёмов системного анализа, выделения общих эле</w:t>
            </w:r>
            <w:r>
              <w:rPr>
                <w:rStyle w:val="22"/>
              </w:rPr>
              <w:softHyphen/>
              <w:t>ментов и фиксирования дополнительных, умения а</w:t>
            </w:r>
            <w:r>
              <w:rPr>
                <w:rStyle w:val="22"/>
              </w:rPr>
              <w:t>бстрагироваться от них в нужной ситуации. В отличие от других способов графического отображения информации (таблиц, рисунков, схем) графологическая структура делает упор на логическую связь элементов между собой, графика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41" w:h="14582" w:wrap="none" w:vAnchor="page" w:hAnchor="page" w:x="1421" w:y="1147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Выделение основных понятий, определ</w:t>
            </w:r>
            <w:r>
              <w:rPr>
                <w:rStyle w:val="22"/>
              </w:rPr>
              <w:t>ение смысловых и причинно- следственных связей, определение взаимосвязей блоков понятий.</w:t>
            </w:r>
          </w:p>
        </w:tc>
      </w:tr>
    </w:tbl>
    <w:p w:rsidR="000815AC" w:rsidRDefault="000815AC">
      <w:pPr>
        <w:rPr>
          <w:sz w:val="2"/>
          <w:szCs w:val="2"/>
        </w:rPr>
        <w:sectPr w:rsidR="000815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4406"/>
        <w:gridCol w:w="3403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0815AC">
            <w:pPr>
              <w:framePr w:w="9902" w:h="14592" w:wrap="none" w:vAnchor="page" w:hAnchor="page" w:x="1441" w:y="1161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7A583E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/>
              <w:ind w:right="242"/>
            </w:pPr>
            <w:r>
              <w:rPr>
                <w:rStyle w:val="22"/>
              </w:rPr>
              <w:t>выступает в роли средства выражения (наглядности).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0815AC">
            <w:pPr>
              <w:framePr w:w="9902" w:h="14592" w:wrap="none" w:vAnchor="page" w:hAnchor="page" w:x="1441" w:y="1161"/>
              <w:rPr>
                <w:sz w:val="10"/>
                <w:szCs w:val="10"/>
              </w:rPr>
            </w:pP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3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Составление и решение ситуационных задач (кейсов)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7A583E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/>
              <w:ind w:right="242"/>
            </w:pPr>
            <w:r>
              <w:rPr>
                <w:rStyle w:val="22"/>
              </w:rPr>
              <w:t>Вид самостоятельной работы студента по систематизации информации в рамках постановки или решения конкретных проблем, направленный на развитие мышления, творческих умений, усвоение знаний, добытых в ходе активного поиска и самостоятельного решения проблем.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/>
            </w:pPr>
            <w:r>
              <w:rPr>
                <w:rStyle w:val="22"/>
              </w:rPr>
              <w:t>Структура кейса, общая валидность, внутренняя валидность.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1"/>
              </w:rPr>
              <w:t>Составление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120" w:line="280" w:lineRule="exact"/>
              <w:jc w:val="left"/>
            </w:pPr>
            <w:r>
              <w:rPr>
                <w:rStyle w:val="21"/>
              </w:rPr>
              <w:t>памятки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 w:rsidP="007A583E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ind w:right="242"/>
            </w:pPr>
            <w:r>
              <w:rPr>
                <w:rStyle w:val="22"/>
              </w:rPr>
              <w:t xml:space="preserve">Вид внеаудиторной самостоятельной работы по подготовке небольшого по объему информационного материала по изучаемой теме. Информация носит характер обобщения, отражает общую </w:t>
            </w:r>
            <w:r>
              <w:rPr>
                <w:rStyle w:val="22"/>
              </w:rPr>
              <w:t>информацию по теме.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Точность информации,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достоверность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информации,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лаконичность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информации.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42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Составление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схем.,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иллюстраций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(рисунков),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графиков,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диаграмм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5AC" w:rsidRDefault="003344DC" w:rsidP="007A583E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ind w:right="242"/>
            </w:pPr>
            <w:r>
              <w:rPr>
                <w:rStyle w:val="22"/>
              </w:rPr>
              <w:t xml:space="preserve">Простой вид графического способа отображения информации. Целью этой работы является развитие умения </w:t>
            </w:r>
            <w:r>
              <w:rPr>
                <w:rStyle w:val="22"/>
              </w:rPr>
              <w:t>студента выделять главные элементы, устанавливать между ними соотношение, отслеживать ход развития, изменения какого- либо процесса, явления, соотношения каких-либо величин и т. д. Второстепенные детали описательного характера опускаются.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Систематизация ин</w:t>
            </w:r>
            <w:r>
              <w:rPr>
                <w:rStyle w:val="22"/>
              </w:rPr>
              <w:t>формации, наличие плана, планирование работы над графикой.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39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Составление кроссвордов по теме и</w:t>
            </w:r>
          </w:p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1"/>
              </w:rPr>
              <w:t>ответов к ним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 w:rsidP="007A583E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ind w:right="242"/>
            </w:pPr>
            <w:r>
              <w:rPr>
                <w:rStyle w:val="22"/>
              </w:rPr>
              <w:t xml:space="preserve">Разновидность отображения информации в графическом виде и вид контроля знаний по ней. Работа по составлению кроссворда требует от студента владения </w:t>
            </w:r>
            <w:r>
              <w:rPr>
                <w:rStyle w:val="22"/>
              </w:rPr>
              <w:t>материалом, умения концентрировать свои мысли и гибкость ума. Разгадывание кроссвордов чаще применяется в аудиторных самостоятельных работах как метод самоконтроля и взаимоконтроля знаний.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02" w:h="14592" w:wrap="none" w:vAnchor="page" w:hAnchor="page" w:x="1441" w:y="1161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Систематизация информации, наличие плана, планирование работы над г</w:t>
            </w:r>
            <w:r>
              <w:rPr>
                <w:rStyle w:val="22"/>
              </w:rPr>
              <w:t>рафикой.</w:t>
            </w:r>
          </w:p>
        </w:tc>
      </w:tr>
    </w:tbl>
    <w:p w:rsidR="000815AC" w:rsidRDefault="000815AC">
      <w:pPr>
        <w:rPr>
          <w:sz w:val="2"/>
          <w:szCs w:val="2"/>
        </w:rPr>
        <w:sectPr w:rsidR="000815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02"/>
        <w:gridCol w:w="4406"/>
        <w:gridCol w:w="3408"/>
      </w:tblGrid>
      <w:tr w:rsidR="000815AC">
        <w:tblPrEx>
          <w:tblCellMar>
            <w:top w:w="0" w:type="dxa"/>
            <w:bottom w:w="0" w:type="dxa"/>
          </w:tblCellMar>
        </w:tblPrEx>
        <w:trPr>
          <w:trHeight w:hRule="exact" w:val="613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1"/>
              </w:rPr>
              <w:lastRenderedPageBreak/>
              <w:t>Создание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60" w:line="280" w:lineRule="exact"/>
              <w:jc w:val="left"/>
            </w:pPr>
            <w:r>
              <w:rPr>
                <w:rStyle w:val="21"/>
              </w:rPr>
              <w:t>презентаций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5AC" w:rsidRDefault="003344DC" w:rsidP="007A583E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/>
              <w:ind w:right="251"/>
            </w:pPr>
            <w:r>
              <w:rPr>
                <w:rStyle w:val="22"/>
              </w:rPr>
              <w:t xml:space="preserve">Вид самостоятельной работы студентов по созданию наглядных информационных пособий, выполненных с помощью мультимедийной компьютерной программы </w:t>
            </w:r>
            <w:r>
              <w:rPr>
                <w:rStyle w:val="22"/>
                <w:lang w:val="en-US" w:eastAsia="en-US" w:bidi="en-US"/>
              </w:rPr>
              <w:t>PowerPoint</w:t>
            </w:r>
            <w:r w:rsidRPr="003771D9">
              <w:rPr>
                <w:rStyle w:val="22"/>
                <w:lang w:eastAsia="en-US" w:bidi="en-US"/>
              </w:rPr>
              <w:t xml:space="preserve">. </w:t>
            </w:r>
            <w:r>
              <w:rPr>
                <w:rStyle w:val="22"/>
              </w:rPr>
              <w:t xml:space="preserve">Этот </w:t>
            </w:r>
            <w:r>
              <w:rPr>
                <w:rStyle w:val="22"/>
              </w:rPr>
              <w:t>вид работы требует координации навыков студента по сбору, систематизации, переработке информации, оформления её в виде подборки материалов, кратко отражающих основные вопросы изучаемой темы, в электронном виде.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Раскрытие темы учебной дисциплины, подача мат</w:t>
            </w:r>
            <w:r>
              <w:rPr>
                <w:rStyle w:val="22"/>
              </w:rPr>
              <w:t>ериала (наличие, достаточность и обоснованность графического оформления: схем, рисунков, диаграмм, фотографий), оформление презентации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(соответствие дизайна всей презентации поставленной цели; единство стиля включаемых в презентацию рисунков; обоснованное </w:t>
            </w:r>
            <w:r>
              <w:rPr>
                <w:rStyle w:val="22"/>
              </w:rPr>
              <w:t>использование анимационных эффектов).</w:t>
            </w:r>
          </w:p>
        </w:tc>
      </w:tr>
      <w:tr w:rsidR="000815AC">
        <w:tblPrEx>
          <w:tblCellMar>
            <w:top w:w="0" w:type="dxa"/>
            <w:bottom w:w="0" w:type="dxa"/>
          </w:tblCellMar>
        </w:tblPrEx>
        <w:trPr>
          <w:trHeight w:hRule="exact" w:val="358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1"/>
              </w:rPr>
              <w:t>Составление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60" w:line="280" w:lineRule="exact"/>
              <w:jc w:val="left"/>
            </w:pPr>
            <w:r>
              <w:rPr>
                <w:rStyle w:val="21"/>
              </w:rPr>
              <w:t>буклета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5AC" w:rsidRDefault="003344DC" w:rsidP="007A583E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ind w:right="251"/>
            </w:pPr>
            <w:r>
              <w:rPr>
                <w:rStyle w:val="22"/>
              </w:rPr>
              <w:t>Вид внеаудиторной самостоятельной работы по подготовке небольшого по объему информационного материала по изучаемой теме. Информация носит характер обобщения, отражает общую информацию по теме.</w:t>
            </w:r>
          </w:p>
          <w:p w:rsidR="000815AC" w:rsidRDefault="003344DC" w:rsidP="007A583E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ind w:right="251"/>
            </w:pPr>
            <w:r>
              <w:rPr>
                <w:rStyle w:val="22"/>
              </w:rPr>
              <w:t>Оформляется письменно, может включать элементы наглядности (иллюстрации, демонстрацию).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Точность информации,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достоверность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информации,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лаконичность</w:t>
            </w:r>
          </w:p>
          <w:p w:rsidR="000815AC" w:rsidRDefault="003344DC">
            <w:pPr>
              <w:pStyle w:val="20"/>
              <w:framePr w:w="9917" w:h="9715" w:wrap="none" w:vAnchor="page" w:hAnchor="page" w:x="1433" w:y="1142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информации.</w:t>
            </w:r>
          </w:p>
        </w:tc>
      </w:tr>
    </w:tbl>
    <w:p w:rsidR="000815AC" w:rsidRDefault="000815AC">
      <w:pPr>
        <w:rPr>
          <w:sz w:val="2"/>
          <w:szCs w:val="2"/>
        </w:rPr>
      </w:pPr>
    </w:p>
    <w:sectPr w:rsidR="000815AC" w:rsidSect="000815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4DC" w:rsidRDefault="003344DC" w:rsidP="000815AC">
      <w:r>
        <w:separator/>
      </w:r>
    </w:p>
  </w:endnote>
  <w:endnote w:type="continuationSeparator" w:id="1">
    <w:p w:rsidR="003344DC" w:rsidRDefault="003344DC" w:rsidP="00081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4DC" w:rsidRDefault="003344DC"/>
  </w:footnote>
  <w:footnote w:type="continuationSeparator" w:id="1">
    <w:p w:rsidR="003344DC" w:rsidRDefault="003344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15AC"/>
    <w:rsid w:val="000815AC"/>
    <w:rsid w:val="003344DC"/>
    <w:rsid w:val="003771D9"/>
    <w:rsid w:val="007A583E"/>
    <w:rsid w:val="00C2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5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5AC"/>
    <w:rPr>
      <w:color w:val="000080"/>
      <w:u w:val="single"/>
    </w:rPr>
  </w:style>
  <w:style w:type="character" w:customStyle="1" w:styleId="a4">
    <w:name w:val="Колонтитул_"/>
    <w:basedOn w:val="a0"/>
    <w:link w:val="a5"/>
    <w:rsid w:val="00081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81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81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081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sid w:val="000815A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5pt">
    <w:name w:val="Основной текст (2) + 11;5 pt"/>
    <w:basedOn w:val="2"/>
    <w:rsid w:val="000815AC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 + Курсив"/>
    <w:basedOn w:val="2"/>
    <w:rsid w:val="000815AC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0815A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Колонтитул"/>
    <w:basedOn w:val="a"/>
    <w:link w:val="a4"/>
    <w:rsid w:val="000815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0815A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815AC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815A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link w:val="aa"/>
    <w:uiPriority w:val="1"/>
    <w:qFormat/>
    <w:rsid w:val="003771D9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aa">
    <w:name w:val="Без интервала Знак"/>
    <w:basedOn w:val="a0"/>
    <w:link w:val="a9"/>
    <w:uiPriority w:val="1"/>
    <w:rsid w:val="003771D9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3771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71D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023347"/>
    <w:rsid w:val="00023347"/>
    <w:rsid w:val="0047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A172A8950440F6AE82004B25B2533A">
    <w:name w:val="DBA172A8950440F6AE82004B25B2533A"/>
    <w:rsid w:val="00023347"/>
  </w:style>
  <w:style w:type="paragraph" w:customStyle="1" w:styleId="6E247D392A72447BB1F1F343D5E725CD">
    <w:name w:val="6E247D392A72447BB1F1F343D5E725CD"/>
    <w:rsid w:val="00023347"/>
  </w:style>
  <w:style w:type="paragraph" w:customStyle="1" w:styleId="44FED2BBCEA94B6591EADE0A59719BF5">
    <w:name w:val="44FED2BBCEA94B6591EADE0A59719BF5"/>
    <w:rsid w:val="00023347"/>
  </w:style>
  <w:style w:type="paragraph" w:customStyle="1" w:styleId="A6530E9A26F143EA9998081DE05B2CB4">
    <w:name w:val="A6530E9A26F143EA9998081DE05B2CB4"/>
    <w:rsid w:val="00023347"/>
  </w:style>
  <w:style w:type="paragraph" w:customStyle="1" w:styleId="1DAC05B18F164D8986442E65E9928699">
    <w:name w:val="1DAC05B18F164D8986442E65E9928699"/>
    <w:rsid w:val="000233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2019-04-03T06:24:00Z</dcterms:created>
  <dcterms:modified xsi:type="dcterms:W3CDTF">2019-04-03T06:35:00Z</dcterms:modified>
</cp:coreProperties>
</file>